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Smlouva 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o poskytnutí podpory pro projekt oceněný na mezinárodní úrovni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Smluvní strany: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Česká republika – Technologická agentura České republiky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 sídlem: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Evropská 1692/37, 160 00 Praha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IČO: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72050365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zastoupená: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Petrem Konvalinkou, předsedou TA ČR</w:t>
      </w:r>
    </w:p>
    <w:p w:rsidR="00000000" w:rsidDel="00000000" w:rsidP="00000000" w:rsidRDefault="00000000" w:rsidRPr="00000000" w14:paraId="00000008">
      <w:pPr>
        <w:spacing w:before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bankovní spojení: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Česká národní banka, Na Příkopě 28, Praha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běžný výdajový účet: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000-3125001/0710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(dále jen „poskytovatel“) na straně jedné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 sídlem: ……………………………..</w:t>
      </w:r>
    </w:p>
    <w:p w:rsidR="00000000" w:rsidDel="00000000" w:rsidP="00000000" w:rsidRDefault="00000000" w:rsidRPr="00000000" w14:paraId="0000000E">
      <w:pPr>
        <w:spacing w:before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zapsaná v (je-li relevantní – např. v obchodním či jiném rejstříku)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…………………………</w:t>
      </w:r>
    </w:p>
    <w:p w:rsidR="00000000" w:rsidDel="00000000" w:rsidP="00000000" w:rsidRDefault="00000000" w:rsidRPr="00000000" w14:paraId="0000000F">
      <w:pPr>
        <w:spacing w:before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IČO: ………</w:t>
      </w:r>
    </w:p>
    <w:p w:rsidR="00000000" w:rsidDel="00000000" w:rsidP="00000000" w:rsidRDefault="00000000" w:rsidRPr="00000000" w14:paraId="00000010">
      <w:pPr>
        <w:spacing w:before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zastoupená: …………………..   </w:t>
      </w:r>
    </w:p>
    <w:p w:rsidR="00000000" w:rsidDel="00000000" w:rsidP="00000000" w:rsidRDefault="00000000" w:rsidRPr="00000000" w14:paraId="00000011">
      <w:pPr>
        <w:spacing w:before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bankovní spojení: …………………..</w:t>
      </w:r>
    </w:p>
    <w:p w:rsidR="00000000" w:rsidDel="00000000" w:rsidP="00000000" w:rsidRDefault="00000000" w:rsidRPr="00000000" w14:paraId="00000012">
      <w:pPr>
        <w:spacing w:before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číslo účtu: ……………….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(dále jen „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Hlavní příjemce“) na straně druhé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uzavřely níže uvedeného dne, měsíce a roku tuto</w:t>
      </w:r>
    </w:p>
    <w:p w:rsidR="00000000" w:rsidDel="00000000" w:rsidP="00000000" w:rsidRDefault="00000000" w:rsidRPr="00000000" w14:paraId="00000016">
      <w:pPr>
        <w:spacing w:before="36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Smlouvu o poskytnutí podpory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(dále jen „Smlouva“)</w:t>
      </w:r>
    </w:p>
    <w:p w:rsidR="00000000" w:rsidDel="00000000" w:rsidP="00000000" w:rsidRDefault="00000000" w:rsidRPr="00000000" w14:paraId="00000018">
      <w:pPr>
        <w:spacing w:before="36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Preambule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Poskytovatel přijal návrh projektu </w:t>
      </w:r>
      <w:r w:rsidDel="00000000" w:rsidR="00000000" w:rsidRPr="00000000">
        <w:rPr>
          <w:rFonts w:ascii="Calibri" w:cs="Calibri" w:eastAsia="Calibri" w:hAnsi="Calibri"/>
          <w:b w:val="1"/>
          <w:highlight w:val="yellow"/>
          <w:rtl w:val="0"/>
        </w:rPr>
        <w:t xml:space="preserve">XXXX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 názvem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XXX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2. národní výzvy Seal of Excellence, EIC Accelerator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v následujícím programu: SIGMA.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Návrh projektu byl kvalitativně vyhodnocen na mezinárodní úrovni a následně byla na národní úrovni zhodnocena formální způsobilost uchazeče v souladu s § 21 zákona č. 130/2002 Sb., o podpoře výzkumu, experimentálního vývoje a inovací z veřejných prostředků a o změně některých souvisejících zákonů (zákon o podpoře výzkumu, experimentálního vývoje a inovací), ve znění pozdějších předpisů, (dále jen „ZPVV“).  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Poskytovatel vydal rozhodnutí o výsledku výzvy v souladu s tímto ustanovením tak, že návrh projektu bude podpořen (dále jen “schválený návrh projektu”).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V souladu s § 9 ZPVV proto Poskytovatel uzavírá 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to Smlouvu. Veškeré pojmy použité ve Smlouvě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definujeme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ve Všeobecných podmínkách.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36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Článek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36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Předmět smlouvy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425" w:hanging="425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Předmětem Smlouvy je závazek Poskytovatele poskytnout Hlavnímu příjemci finanční podporu formou dotace za účelem jejího využití na dosažení deklarovaných výsledků a cílů projektu a současně závazek Hlavního příjemce použít tuto podporu a řešit projekt v souladu s pravidly poskytnutí podpory a přílohou Závazné parametry řešení projektu.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425" w:hanging="425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Účelem podpory je dosažení stanovených cílů projektu, tj. cílů uvedených v příloze Závazné parametry řešení projektu.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36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Článek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36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Výše poskytnuté podpory a uznaných nákladů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ind w:left="425" w:hanging="425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Maximální výše podpory činí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 XXX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Kč (slovy: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XXX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korun českých), což je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XXX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% z maximální výše uznaných nákladů.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ind w:left="425" w:hanging="425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Maximální výše uznaných nákladů projektu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činí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 XXX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Kč (slovy: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XXX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korun českých).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ind w:left="425" w:hanging="425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Maximální možná intenzita podpory na celý projekt je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XX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% uznaných nákladů projektu.</w:t>
      </w:r>
      <w:r w:rsidDel="00000000" w:rsidR="00000000" w:rsidRPr="00000000">
        <w:rPr>
          <w:rtl w:val="0"/>
        </w:rPr>
      </w:r>
    </w:p>
    <w:bookmarkStart w:colFirst="0" w:colLast="0" w:name="30j0zll" w:id="1"/>
    <w:bookmarkEnd w:id="1"/>
    <w:p w:rsidR="00000000" w:rsidDel="00000000" w:rsidP="00000000" w:rsidRDefault="00000000" w:rsidRPr="00000000" w14:paraId="00000025">
      <w:pPr>
        <w:spacing w:before="36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Článek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36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Související dokumenty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425" w:hanging="425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Nedílnou součástí Smlouvy je příloha Závazné parametry řešení projektu,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která je Schváleným návrhem projektu ve smyslu § 9 odst. 2 ZPVV. Závazné parametry řešení projektu obsahují označení Hlavního příjemce a dalších účastníků, jméno, příjmení a případné akademické tituly a vědecké hodnosti řešitele, časový plán řešení projektu včetně termínu zahájení a ukončení řešení projektu, cíle projektu, deklarované výsledky projektu, a jejíž součástí je tabulka uznaných nákladů projektu.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425" w:hanging="425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Další podmínky poskytnutí podpory a řešení projektu uvádíme ve Všeobecných podmínkách (verze 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), které jsou dostupné na webových stránkách poskytovatele.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425" w:hanging="425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Obsahuje-li Smlouva úpravu odlišnou od Všeobecných podmínek či Závazných parametrů řešení projektu,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použijeme přednostně ustanovení Smlouvy, dále ustanovení Všeobecných podmínek a dále Závazných parametrů řešení projektu.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bookmarkStart w:colFirst="0" w:colLast="0" w:name="1fob9te" w:id="2"/>
    <w:bookmarkEnd w:id="2"/>
    <w:p w:rsidR="00000000" w:rsidDel="00000000" w:rsidP="00000000" w:rsidRDefault="00000000" w:rsidRPr="00000000" w14:paraId="0000002C">
      <w:pPr>
        <w:spacing w:before="36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Článek 4</w:t>
      </w:r>
      <w:r w:rsidDel="00000000" w:rsidR="00000000" w:rsidRPr="00000000">
        <w:rPr>
          <w:rtl w:val="0"/>
        </w:rPr>
      </w:r>
    </w:p>
    <w:bookmarkStart w:colFirst="0" w:colLast="0" w:name="3znysh7" w:id="3"/>
    <w:bookmarkEnd w:id="3"/>
    <w:p w:rsidR="00000000" w:rsidDel="00000000" w:rsidP="00000000" w:rsidRDefault="00000000" w:rsidRPr="00000000" w14:paraId="0000002D">
      <w:pPr>
        <w:spacing w:before="36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Specifické podmínky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ind w:left="425" w:hanging="283.267716535433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Účelem tohoto článku je stanovit další podmínky, které jsou specifické pro výše uvedenou mezinárodní výzvu, a to nad rámec Všeobecných podmínek.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ind w:left="425" w:hanging="283.267716535433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Uvádí-li Všeobecné podmínky či související dokumenty pojem “veřejná soutěž”, pro potřeby projektu financovaného prostřednictvím mezinárodních výzev se jedná o mezinárodní výzvu definovanou v čl. 4 odst. 4 Smlouvy.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ind w:left="425" w:hanging="283.267716535433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Nad rámec Všeobecných podmínek má Hlavní příjemce povinnost dle zákona č. 563/1991 Sb., o účetnictví zveřejňovat účetní závěrku v příslušném rejstříku ve smyslu zákona č. 304/2013 Sb., o veřejných rejstřících právnických a fyzických osob, a to po celou dobu řešení projektu.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1"/>
        <w:keepLines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284.267716535433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Dle Všeobecných podmínek čl. 7 odst. 1 písm. d) lze smlouvu vypovědět, jestliže dojde ke krácení financí ze státního rozpočtu, regulaci čerpání st. rozpočtu aj. U mezinárodních výzev se čl. 7 odst. 1 písm. d) vztahuje také na případy, kdy prostředky, které pocházejí od zahraničních poskytovatelů, nebudou na řešení zahraničním partnerům poskytnuty vůbec nebo budou poskytnuty v nižším objemu, než bylo původně stanoveno.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ind w:left="425" w:hanging="283.267716535433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Poskytovatel se zavazuje poskytnout podporu v každém roce řešení ve výši uvedené v Závazných  parametrech řešení projektu</w:t>
      </w:r>
    </w:p>
    <w:p w:rsidR="00000000" w:rsidDel="00000000" w:rsidP="00000000" w:rsidRDefault="00000000" w:rsidRPr="00000000" w14:paraId="00000033">
      <w:pPr>
        <w:numPr>
          <w:ilvl w:val="1"/>
          <w:numId w:val="5"/>
        </w:numPr>
        <w:ind w:left="851" w:right="566" w:hanging="283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 60 kalendářních dnů ode dne nabytí účinnosti Smlouvy a</w:t>
      </w:r>
    </w:p>
    <w:p w:rsidR="00000000" w:rsidDel="00000000" w:rsidP="00000000" w:rsidRDefault="00000000" w:rsidRPr="00000000" w14:paraId="00000034">
      <w:pPr>
        <w:numPr>
          <w:ilvl w:val="1"/>
          <w:numId w:val="5"/>
        </w:numPr>
        <w:ind w:left="851" w:right="566" w:hanging="283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 víceletých projektů pro druhý a každý následující rok řešení do 60 kalendářních dnů od začátku příslušného kalendářního roku.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ind w:left="566.9291338582675" w:right="566" w:hanging="425.1968503937007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Nad rámec Všeobecných podmínek je Příjemce povinen předložit Poskytovateli nejpozději společně s první průběžnou zprávou Plán správy dat, pravidelně ho aktualizovat a aktualizovanou verzi Plánu správy dat předkládat jako součást průběžné a závěrečné zprávy.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ind w:left="566.9291338582675" w:right="566" w:hanging="425.1968503937007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Nad rámec Všeobecných podmínek je dále Příjemce povinen předávat Poskytovateli v průběhu realizace projekt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 informace o dostupnosti a způsobu šíření výsledků výzkumu a výzkumných dat, pokud byly vytvořeny za podpory z veřejných prostředků podle tohoto zákona, v souladu se zásadou, že výsledky výzkumu a výzkumná data nejsou zveřejňovány pouze v odůvodněných případech.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ind w:left="566.9291338582675" w:right="566" w:hanging="425.1968503937007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Nad rámec Všeobecných podmínek je příjemce povinen dodržovat během realizace projektu zásadu "významně nepoškozovat" ve smyslu článku 17 Nařízení Evropského parlamentu a Rady (EU) 2020/852 ze dne 18. června 2020 o zřízení rámce pro usnadnění udržitelných investic a o změně nařízení (EU) 2019/2088, tzn. nesmí dojít k porušení ani jednoho z šesti environmentálních cílů a výsledky projektu budou na úrovni uplatňování technologicky neutrální.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ind w:left="425.19685039370086" w:right="-182" w:hanging="278.2677165354331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Čl. 4 odst. 2 písm. c) Všeobecných podmínek se mění takto: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40" w:before="240" w:lineRule="auto"/>
        <w:ind w:left="850" w:right="-182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“při prezentaci informací o řešeném projektu s podporou TA ČR či o jeho výsledcích v hromadných sdělovacích prostředcích či jiným způsobem, informovat přiměřeným způsobem o tom, že projekt byl realizován za finanční podpory TA ČR, a to na všech propagačních materiálech i ve všech typech médií, které se k projektu či jeho výsledkům a výstupům vztahují, a to v souladu s podmínkami vizuální identity uveřejněnými na webových stránkách poskytovatele, a též v souladu s podmínkami vizuální identity stanovenými v Metodickém pokynu pro publicitu a komunikaci pro Národní plán obnovy na období 2021–2026.”</w:t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ind w:left="360" w:right="-182" w:hanging="218.26771653543312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Nad rámec Všeobecných podmínek je příjemce povinen učinit veškerá opatření, aby nevznikl střet  zájmů ve smyslu článku 61 Nařízení Evropského parlamentu a Rady (EU) 2018/1046 ze dne 18. července 2018, a pokud taková situace nastane, je povinen tuto skutečnost neprodleně oznámit poskytovateli.</w:t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ind w:left="360" w:right="-182" w:hanging="218.26771653543312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Čl. 17 odst. 8 Všeobecných podmínek se nahrazuje tímto: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850" w:right="-182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“Daň z přidané hodnoty dle zákona č. 235/2004 Sb., o dani z přidané hodnoty není v této veřejné soutěži uznaný náklad, ani pro neplátce DPH.”</w:t>
      </w:r>
    </w:p>
    <w:p w:rsidR="00000000" w:rsidDel="00000000" w:rsidP="00000000" w:rsidRDefault="00000000" w:rsidRPr="00000000" w14:paraId="0000003D">
      <w:pPr>
        <w:numPr>
          <w:ilvl w:val="0"/>
          <w:numId w:val="5"/>
        </w:numPr>
        <w:ind w:left="360" w:right="-182" w:hanging="218.26771653543312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Příjemce je povinen v rámci každé průběžné a závěrečné zprávy předložit poskytovateli seznam všech dodavatelů a poddodavatelů ve veřejných zakázkách dle zákona č. 134/2016 Sb., o zadávání veřejných zakázek, včetně seznamu jejich skutečných majitelů dle zákona č. 37/2021 Sb., o evidenci skutečných majitelů. Příjemce musí při zadávání veřejných zakázek dodržet zákaz vzniku střetu zájmů ve smyslu článku 61 Nařízení Evropského parlamentu a Rady (EU) 2018/1046 ze dne 18. července 2018.</w:t>
      </w:r>
    </w:p>
    <w:p w:rsidR="00000000" w:rsidDel="00000000" w:rsidP="00000000" w:rsidRDefault="00000000" w:rsidRPr="00000000" w14:paraId="0000003E">
      <w:pPr>
        <w:ind w:left="141.73228346456688" w:right="-182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0" w:right="-182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PrChange w:author="Eva Bendlová" w:id="0" w:date="2023-05-26T10:45:02Z">
            <w:rPr>
              <w:rFonts w:ascii="Calibri" w:cs="Calibri" w:eastAsia="Calibri" w:hAnsi="Calibri"/>
            </w:rPr>
          </w:rPrChange>
        </w:rPr>
        <w:pPrChange w:author="Eva Bendlová" w:id="0" w:date="2023-05-26T10:45:02Z">
          <w:pPr>
            <w:ind w:left="850" w:right="-182" w:firstLine="0"/>
          </w:pPr>
        </w:pPrChange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before="36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Článek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before="36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Závěrečná ustanovení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ind w:left="425" w:hanging="425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Smlouva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je vyhotovena ve dvou stejnopisech, z nichž Poskytovatel a Hlavní příjemce obdrží po jednom stejnopisu. Každý stejnopis má platnost originálu.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ind w:left="425" w:hanging="425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Hlavní příjemce prohlašuje a podpisem Smlouvy stvrzuje, že jím uvedené údaje, na jejichž základě je uzavřena, jsou správné, úplné a pravdivé.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ind w:left="425" w:hanging="425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Smlouva nabývá platnosti dnem podpisu smluvními stranami a účinnosti zveřejněním v registru smluv.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ind w:left="425" w:hanging="425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Smluvní strany prohlašují, že si Smlouvu včetně jejích příloh přečetly, s jejím obsahem souhlasí, a že byla sepsána na základě jejich pravé a svobodné vůle, prosté omylu, a na důkaz toho připojují své podpisy.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ind w:left="425" w:hanging="425"/>
        <w:rPr/>
      </w:pPr>
      <w:bookmarkStart w:colFirst="0" w:colLast="0" w:name="_tyjcwt" w:id="4"/>
      <w:bookmarkEnd w:id="4"/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Smluvní strany souhlasí se zveřejněním znění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mlouvy ve smyslu zákona č. 340/2015 Sb., o zvláštních podmínkách účinnosti některých smluv, uveřejňování těchto smluv a o registru smluv (zákon o registru smluv). Zveřejnění ve smyslu tohoto zákona provede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oskytovatel.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ind w:left="425" w:hanging="425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Hlavní příjemce zároveň svým podpisem výslovně prohlašuje, že se seznámil se všemi pravidly stanovenými Všeobecnými podmínkami.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426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leader="none" w:pos="426"/>
        </w:tabs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Podpisy smluvních stran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left"/>
        <w:tblInd w:w="-121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9"/>
        <w:gridCol w:w="4820"/>
        <w:tblGridChange w:id="0">
          <w:tblGrid>
            <w:gridCol w:w="4819"/>
            <w:gridCol w:w="4820"/>
          </w:tblGrid>
        </w:tblGridChange>
      </w:tblGrid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spacing w:after="40" w:before="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Poskytovatel: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40" w:before="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spacing w:after="40" w:before="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 Praze dne</w:t>
            </w: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 DD. MM. RRRR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after="40" w:before="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spacing w:after="40" w:before="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bookmarkStart w:colFirst="0" w:colLast="0" w:name="3dy6vkm" w:id="5"/>
          <w:bookmarkEnd w:id="5"/>
          <w:p w:rsidR="00000000" w:rsidDel="00000000" w:rsidP="00000000" w:rsidRDefault="00000000" w:rsidRPr="00000000" w14:paraId="00000050">
            <w:pPr>
              <w:spacing w:after="40" w:before="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předseda/předsedkyně TA ČR</w:t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spacing w:after="40" w:before="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40" w:before="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spacing w:after="40" w:before="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(Hlavní příjemce):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40" w:before="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spacing w:after="40" w:before="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 </w:t>
            </w: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XXX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dne</w:t>
            </w: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 DD. MM. RRRR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spacing w:after="40" w:before="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spacing w:after="40" w:before="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spacing w:after="40" w:before="40" w:lineRule="auto"/>
              <w:jc w:val="center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Jméno a příjmení osoby, která podepisuje za Hlavního příjemce</w:t>
            </w:r>
          </w:p>
        </w:tc>
      </w:tr>
    </w:tbl>
    <w:p w:rsidR="00000000" w:rsidDel="00000000" w:rsidP="00000000" w:rsidRDefault="00000000" w:rsidRPr="00000000" w14:paraId="0000005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4" w:top="2410" w:left="1134" w:right="1134" w:header="165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21"/>
        <w:tab w:val="right" w:leader="none" w:pos="9636"/>
      </w:tabs>
      <w:spacing w:before="0" w:line="240" w:lineRule="auto"/>
      <w:jc w:val="center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Fonts w:ascii="Calibri" w:cs="Calibri" w:eastAsia="Calibri" w:hAnsi="Calibri"/>
        <w:color w:val="000000"/>
        <w:sz w:val="16"/>
        <w:szCs w:val="16"/>
        <w:rtl w:val="0"/>
      </w:rPr>
      <w:t xml:space="preserve">F-352, </w:t>
    </w: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v</w:t>
    </w:r>
    <w:r w:rsidDel="00000000" w:rsidR="00000000" w:rsidRPr="00000000">
      <w:rPr>
        <w:rFonts w:ascii="Calibri" w:cs="Calibri" w:eastAsia="Calibri" w:hAnsi="Calibri"/>
        <w:color w:val="000000"/>
        <w:sz w:val="16"/>
        <w:szCs w:val="16"/>
        <w:rtl w:val="0"/>
      </w:rPr>
      <w:t xml:space="preserve">erze </w:t>
    </w: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4</w:t>
      <w:tab/>
      <w:t xml:space="preserve"> </w:t>
    </w:r>
    <w:r w:rsidDel="00000000" w:rsidR="00000000" w:rsidRPr="00000000">
      <w:rPr>
        <w:rFonts w:ascii="Calibri" w:cs="Calibri" w:eastAsia="Calibri" w:hAnsi="Calibri"/>
        <w:color w:val="000000"/>
        <w:sz w:val="16"/>
        <w:szCs w:val="16"/>
        <w:rtl w:val="0"/>
      </w:rPr>
      <w:t xml:space="preserve">Strana </w:t>
    </w:r>
    <w:r w:rsidDel="00000000" w:rsidR="00000000" w:rsidRPr="00000000">
      <w:rPr>
        <w:rFonts w:ascii="Calibri" w:cs="Calibri" w:eastAsia="Calibri" w:hAnsi="Calibri"/>
        <w:b w:val="1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 z </w:t>
    </w:r>
    <w:r w:rsidDel="00000000" w:rsidR="00000000" w:rsidRPr="00000000">
      <w:rPr>
        <w:rFonts w:ascii="Calibri" w:cs="Calibri" w:eastAsia="Calibri" w:hAnsi="Calibri"/>
        <w:b w:val="1"/>
        <w:color w:val="000000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1"/>
        <w:color w:val="000000"/>
        <w:sz w:val="16"/>
        <w:szCs w:val="16"/>
        <w:rtl w:val="0"/>
      </w:rPr>
      <w:tab/>
    </w:r>
    <w:r w:rsidDel="00000000" w:rsidR="00000000" w:rsidRPr="00000000">
      <w:rPr>
        <w:rFonts w:ascii="Calibri" w:cs="Calibri" w:eastAsia="Calibri" w:hAnsi="Calibri"/>
        <w:color w:val="000000"/>
        <w:sz w:val="16"/>
        <w:szCs w:val="16"/>
        <w:rtl w:val="0"/>
      </w:rPr>
      <w:t xml:space="preserve">Veřejný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tabs>
        <w:tab w:val="center" w:leader="none" w:pos="4536"/>
        <w:tab w:val="right" w:leader="none" w:pos="9072"/>
      </w:tabs>
      <w:spacing w:before="1134" w:line="240" w:lineRule="auto"/>
      <w:jc w:val="right"/>
      <w:rPr>
        <w:rFonts w:ascii="Calibri" w:cs="Calibri" w:eastAsia="Calibri" w:hAnsi="Calibri"/>
        <w:b w:val="1"/>
        <w:sz w:val="16"/>
        <w:szCs w:val="16"/>
      </w:rPr>
    </w:pPr>
    <w:r w:rsidDel="00000000" w:rsidR="00000000" w:rsidRPr="00000000">
      <w:rPr>
        <w:rFonts w:ascii="Calibri" w:cs="Calibri" w:eastAsia="Calibri" w:hAnsi="Calibri"/>
        <w:b w:val="1"/>
        <w:sz w:val="16"/>
        <w:szCs w:val="16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4815844</wp:posOffset>
          </wp:positionH>
          <wp:positionV relativeFrom="page">
            <wp:posOffset>-116204</wp:posOffset>
          </wp:positionV>
          <wp:extent cx="1439545" cy="1439545"/>
          <wp:effectExtent b="0" l="0" r="0" t="0"/>
          <wp:wrapSquare wrapText="bothSides" distB="0" distT="0" distL="114300" distR="11430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-76199</wp:posOffset>
          </wp:positionH>
          <wp:positionV relativeFrom="paragraph">
            <wp:posOffset>590550</wp:posOffset>
          </wp:positionV>
          <wp:extent cx="2646539" cy="790257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46539" cy="79025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B">
    <w:pPr>
      <w:tabs>
        <w:tab w:val="center" w:leader="none" w:pos="4536"/>
        <w:tab w:val="right" w:leader="none" w:pos="9072"/>
      </w:tabs>
      <w:spacing w:before="1134" w:line="240" w:lineRule="auto"/>
      <w:jc w:val="right"/>
      <w:rPr>
        <w:rFonts w:ascii="Calibri" w:cs="Calibri" w:eastAsia="Calibri" w:hAnsi="Calibri"/>
        <w:b w:val="1"/>
        <w:sz w:val="16"/>
        <w:szCs w:val="16"/>
      </w:rPr>
    </w:pPr>
    <w:r w:rsidDel="00000000" w:rsidR="00000000" w:rsidRPr="00000000">
      <w:rPr>
        <w:rFonts w:ascii="Calibri" w:cs="Calibri" w:eastAsia="Calibri" w:hAnsi="Calibri"/>
        <w:b w:val="1"/>
        <w:sz w:val="16"/>
        <w:szCs w:val="16"/>
        <w:rtl w:val="0"/>
      </w:rPr>
      <w:t xml:space="preserve">Smlouva</w:t>
    </w:r>
  </w:p>
  <w:p w:rsidR="00000000" w:rsidDel="00000000" w:rsidP="00000000" w:rsidRDefault="00000000" w:rsidRPr="00000000" w14:paraId="0000005C">
    <w:pPr>
      <w:tabs>
        <w:tab w:val="center" w:leader="none" w:pos="4536"/>
        <w:tab w:val="right" w:leader="none" w:pos="9072"/>
      </w:tabs>
      <w:spacing w:before="0" w:line="240" w:lineRule="auto"/>
      <w:jc w:val="right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b w:val="1"/>
        <w:sz w:val="16"/>
        <w:szCs w:val="16"/>
        <w:rtl w:val="0"/>
      </w:rPr>
      <w:t xml:space="preserve">Číslo smlouvy: 20</w:t>
    </w:r>
    <w:r w:rsidDel="00000000" w:rsidR="00000000" w:rsidRPr="00000000">
      <w:rPr>
        <w:rFonts w:ascii="Calibri" w:cs="Calibri" w:eastAsia="Calibri" w:hAnsi="Calibri"/>
        <w:b w:val="1"/>
        <w:sz w:val="16"/>
        <w:szCs w:val="16"/>
        <w:highlight w:val="yellow"/>
        <w:rtl w:val="0"/>
      </w:rPr>
      <w:t xml:space="preserve">XXxxxx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firstLine="1080"/>
      </w:pPr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900" w:firstLine="32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1620" w:firstLine="63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340" w:firstLine="90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060" w:firstLine="118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3780" w:firstLine="149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500" w:firstLine="176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220" w:firstLine="205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5940" w:firstLine="235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360" w:firstLine="1080"/>
      </w:pPr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800" w:firstLine="64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84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111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140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171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198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226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257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360" w:firstLine="1080"/>
      </w:pPr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800" w:firstLine="64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84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111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140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171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198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226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257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426" w:firstLine="1278"/>
      </w:pPr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440" w:firstLine="54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84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111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140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171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198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226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257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360" w:hanging="218.26771653543312"/>
      </w:pPr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800" w:firstLine="6480"/>
      </w:pPr>
      <w:rPr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84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111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140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171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198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226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257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cs-CZ"/>
      </w:rPr>
    </w:rPrDefault>
    <w:pPrDefault>
      <w:pPr>
        <w:spacing w:before="12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